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B46" w:rsidRDefault="00163B46" w:rsidP="00163B46">
      <w:pPr>
        <w:jc w:val="center"/>
      </w:pPr>
      <w:bookmarkStart w:id="0" w:name="_Toc87456872"/>
      <w:bookmarkStart w:id="1" w:name="_GoBack"/>
      <w:bookmarkEnd w:id="1"/>
      <w:r w:rsidRPr="009F551E">
        <w:t>ANEXO I</w:t>
      </w:r>
      <w:r>
        <w:t>NFORMATIVO C</w:t>
      </w:r>
    </w:p>
    <w:p w:rsidR="00163B46" w:rsidRDefault="00163B46" w:rsidP="00163B46">
      <w:pPr>
        <w:jc w:val="center"/>
      </w:pPr>
      <w:r>
        <w:t>OBJETIVOS ESPECÍFICOS DEL FONDO SOCIAL EUROPEO PLUS (FSE+)</w:t>
      </w:r>
    </w:p>
    <w:p w:rsidR="00163B46" w:rsidRDefault="00163B46" w:rsidP="00163B46">
      <w:pPr>
        <w:jc w:val="center"/>
      </w:pPr>
      <w:r>
        <w:t xml:space="preserve"> REGLAMENTO (UE) 2021/1057</w:t>
      </w:r>
      <w:bookmarkEnd w:id="0"/>
    </w:p>
    <w:tbl>
      <w:tblPr>
        <w:tblW w:w="8784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8204"/>
      </w:tblGrid>
      <w:tr w:rsidR="00163B46" w:rsidRPr="00163B46" w:rsidTr="00BF1A46">
        <w:trPr>
          <w:trHeight w:val="288"/>
        </w:trPr>
        <w:tc>
          <w:tcPr>
            <w:tcW w:w="8784" w:type="dxa"/>
            <w:gridSpan w:val="2"/>
            <w:shd w:val="clear" w:color="auto" w:fill="AEAAAA" w:themeFill="background2" w:themeFillShade="BF"/>
            <w:noWrap/>
            <w:vAlign w:val="center"/>
            <w:hideMark/>
          </w:tcPr>
          <w:p w:rsidR="00BF1A46" w:rsidRDefault="00163B46" w:rsidP="00E44AB5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163B46">
              <w:rPr>
                <w:sz w:val="22"/>
                <w:szCs w:val="22"/>
              </w:rPr>
              <w:br w:type="page"/>
            </w:r>
          </w:p>
          <w:p w:rsidR="00163B46" w:rsidRPr="00163B46" w:rsidRDefault="00163B46" w:rsidP="00E44AB5">
            <w:pPr>
              <w:spacing w:before="0" w:after="0"/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163B46">
              <w:rPr>
                <w:rFonts w:cs="Calibri"/>
                <w:b/>
                <w:bCs/>
                <w:sz w:val="22"/>
                <w:szCs w:val="22"/>
              </w:rPr>
              <w:t>OBJETIVOS ESPECÍFICOS 2021-2027</w:t>
            </w:r>
          </w:p>
          <w:p w:rsidR="00163B46" w:rsidRPr="00163B46" w:rsidRDefault="00163B46" w:rsidP="00BF1A46">
            <w:pPr>
              <w:spacing w:before="0"/>
              <w:jc w:val="center"/>
              <w:rPr>
                <w:rFonts w:cs="Calibri"/>
                <w:i/>
                <w:iCs/>
                <w:sz w:val="22"/>
                <w:szCs w:val="22"/>
              </w:rPr>
            </w:pPr>
            <w:r w:rsidRPr="00163B46">
              <w:rPr>
                <w:rFonts w:cs="Calibri"/>
                <w:i/>
                <w:iCs/>
                <w:sz w:val="18"/>
                <w:szCs w:val="18"/>
              </w:rPr>
              <w:t xml:space="preserve">Fijados en el art.4 del Reglamento (UE) </w:t>
            </w:r>
            <w:proofErr w:type="spellStart"/>
            <w:r w:rsidRPr="00163B46">
              <w:rPr>
                <w:rFonts w:cs="Calibri"/>
                <w:i/>
                <w:iCs/>
                <w:sz w:val="18"/>
                <w:szCs w:val="18"/>
              </w:rPr>
              <w:t>Nº</w:t>
            </w:r>
            <w:proofErr w:type="spellEnd"/>
            <w:r w:rsidRPr="00163B46">
              <w:rPr>
                <w:rFonts w:cs="Calibri"/>
                <w:i/>
                <w:iCs/>
                <w:sz w:val="18"/>
                <w:szCs w:val="18"/>
              </w:rPr>
              <w:t xml:space="preserve"> 2021/1057 de FSE+</w:t>
            </w:r>
          </w:p>
        </w:tc>
      </w:tr>
      <w:tr w:rsidR="00163B46" w:rsidRPr="00163B46" w:rsidTr="00BF1A46">
        <w:trPr>
          <w:trHeight w:val="1464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a)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Mejorar el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acceso al empleo</w:t>
            </w:r>
            <w:r w:rsidRPr="00163B46">
              <w:rPr>
                <w:rFonts w:cs="Calibri"/>
                <w:sz w:val="22"/>
                <w:szCs w:val="22"/>
              </w:rPr>
              <w:t xml:space="preserve"> y a medidas de activación de todos los demandantes de empleo, y en particular de las personas jóvenes, especialmente a través de la aplicación de la Garantía Juvenil, de los desempleados de larga duración y los grupos desfavorecidos en el mercado laboral, y de las personas inactivas, así como mediante la promoción del empleo por cuenta propia y la economía social.</w:t>
            </w:r>
          </w:p>
        </w:tc>
      </w:tr>
      <w:tr w:rsidR="00163B46" w:rsidRPr="00163B46" w:rsidTr="00BF1A46">
        <w:trPr>
          <w:trHeight w:val="1416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b)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b/>
                <w:bCs/>
                <w:sz w:val="22"/>
                <w:szCs w:val="22"/>
              </w:rPr>
              <w:t>Modernizar las instituciones y los servicios</w:t>
            </w:r>
            <w:r w:rsidRPr="00163B46">
              <w:rPr>
                <w:rFonts w:cs="Calibri"/>
                <w:sz w:val="22"/>
                <w:szCs w:val="22"/>
              </w:rPr>
              <w:t xml:space="preserve"> del mercado de trabajo para evaluar y prever las necesidades de capacidades y garantizar una asistencia oportuna y personalizada y el apoyo a la adecuación entre la oferta y la demanda en el mercado de trabajo, las transiciones y la movilidad.</w:t>
            </w:r>
          </w:p>
        </w:tc>
      </w:tr>
      <w:tr w:rsidR="00163B46" w:rsidRPr="00163B46" w:rsidTr="00BF1A46">
        <w:trPr>
          <w:trHeight w:val="1404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c)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Promover una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participación equilibrada de género</w:t>
            </w:r>
            <w:r w:rsidRPr="00163B46">
              <w:rPr>
                <w:rFonts w:cs="Calibri"/>
                <w:sz w:val="22"/>
                <w:szCs w:val="22"/>
              </w:rPr>
              <w:t xml:space="preserve"> en el mercado de trabajo, unas condiciones de trabajo equitativas y una mejora del equilibrio entre la vida laboral y la familiar, en particular mediante el acceso a unos servicios asequibles de atención a la infancia y de atención a personas dependientes.</w:t>
            </w:r>
          </w:p>
        </w:tc>
      </w:tr>
      <w:tr w:rsidR="00163B46" w:rsidRPr="00163B46" w:rsidTr="00BF1A46">
        <w:trPr>
          <w:trHeight w:val="1404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d)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Promover la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adaptación</w:t>
            </w:r>
            <w:r w:rsidRPr="00163B46">
              <w:rPr>
                <w:rFonts w:cs="Calibri"/>
                <w:sz w:val="22"/>
                <w:szCs w:val="22"/>
              </w:rPr>
              <w:t xml:space="preserve"> de los trabajadores, las empresas y los emprendedores al cambio, el envejecimiento activo y saludable y un entorno de trabajo saludable y bien adaptado que aborde los riesgos para la salud.</w:t>
            </w:r>
          </w:p>
        </w:tc>
      </w:tr>
      <w:tr w:rsidR="00163B46" w:rsidRPr="00163B46" w:rsidTr="00BF1A46">
        <w:trPr>
          <w:trHeight w:val="1440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e)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Mejorar la calidad, inclusividad, eficacia y pertinencia para el mercado laboral de los sistemas de educación y formación, también mediante la validación del aprendizaje no formal e informal, para apoyar la adquisición de competencias clave, incluidas las capacidades empresariales y digitales, y promoviendo la introducción de sistemas de formación dual y de formación de aprendices.</w:t>
            </w:r>
          </w:p>
        </w:tc>
      </w:tr>
      <w:tr w:rsidR="00163B46" w:rsidRPr="00163B46" w:rsidTr="00BF1A46">
        <w:trPr>
          <w:trHeight w:val="1464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f)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120" w:after="12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Promover la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igualdad de acceso a una educación y una formación de calidad e inclusivas</w:t>
            </w:r>
            <w:r w:rsidRPr="00163B46">
              <w:rPr>
                <w:rFonts w:cs="Calibri"/>
                <w:sz w:val="22"/>
                <w:szCs w:val="22"/>
              </w:rPr>
              <w:t xml:space="preserve"> y su culminación, en particular para los grupos desfavorecidos, desde la educación infantil y cuidados en la primera infancia, pasando por la educación y la formación generales y profesionales, hasta la educación superior, así como la educación y el aprendizaje de las personas adultas, facilitando también la movilidad para el aprendizaje para todos y la accesibilidad de las personas con discapacidad.</w:t>
            </w:r>
          </w:p>
        </w:tc>
      </w:tr>
      <w:tr w:rsidR="00163B46" w:rsidRPr="00163B46" w:rsidTr="00BF1A46">
        <w:trPr>
          <w:trHeight w:val="1440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g)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b/>
                <w:bCs/>
                <w:sz w:val="22"/>
                <w:szCs w:val="22"/>
              </w:rPr>
              <w:t>Promover el aprendizaje permanente</w:t>
            </w:r>
            <w:r w:rsidRPr="00163B46">
              <w:rPr>
                <w:rFonts w:cs="Calibri"/>
                <w:sz w:val="22"/>
                <w:szCs w:val="22"/>
              </w:rPr>
              <w:t>, en particular mediante oportunidades para todos de mejora y reciclaje flexibles de las capacidades teniendo en cuenta las capacidades empresariales y digitales, una mejor previsión de los cambios y nuevos requisitos de capacidades, habida cuenta de las necesidades del mercado de trabajo, facilitando las transiciones profesionales y promoviendo la movilidad profesional.</w:t>
            </w:r>
          </w:p>
        </w:tc>
      </w:tr>
      <w:tr w:rsidR="00163B46" w:rsidRPr="00163B46" w:rsidTr="00BF1A46">
        <w:trPr>
          <w:trHeight w:val="1128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lastRenderedPageBreak/>
              <w:t>h)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b/>
                <w:bCs/>
                <w:sz w:val="22"/>
                <w:szCs w:val="22"/>
              </w:rPr>
              <w:t>Fomentar la inclusión activa</w:t>
            </w:r>
            <w:r w:rsidRPr="00163B46">
              <w:rPr>
                <w:rFonts w:cs="Calibri"/>
                <w:sz w:val="22"/>
                <w:szCs w:val="22"/>
              </w:rPr>
              <w:t xml:space="preserve"> al objeto de promover la igualdad de oportunidades, la no discriminación y la </w:t>
            </w:r>
            <w:proofErr w:type="gramStart"/>
            <w:r w:rsidRPr="00163B46">
              <w:rPr>
                <w:rFonts w:cs="Calibri"/>
                <w:sz w:val="22"/>
                <w:szCs w:val="22"/>
              </w:rPr>
              <w:t>participación activa</w:t>
            </w:r>
            <w:proofErr w:type="gramEnd"/>
            <w:r w:rsidRPr="00163B46">
              <w:rPr>
                <w:rFonts w:cs="Calibri"/>
                <w:sz w:val="22"/>
                <w:szCs w:val="22"/>
              </w:rPr>
              <w:t>, y mejorar la empleabilidad, en particular para los grupos desfavorecidos.</w:t>
            </w:r>
          </w:p>
        </w:tc>
      </w:tr>
      <w:tr w:rsidR="00163B46" w:rsidRPr="00163B46" w:rsidTr="00BF1A46">
        <w:trPr>
          <w:trHeight w:val="1140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i)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Promover la integración socioeconómica de los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nacionales de terceros países</w:t>
            </w:r>
            <w:r w:rsidRPr="00163B46">
              <w:rPr>
                <w:rFonts w:cs="Calibri"/>
                <w:sz w:val="22"/>
                <w:szCs w:val="22"/>
              </w:rPr>
              <w:t>, incluidos los migrantes.</w:t>
            </w:r>
          </w:p>
        </w:tc>
      </w:tr>
      <w:tr w:rsidR="00163B46" w:rsidRPr="00163B46" w:rsidTr="00BF1A46">
        <w:trPr>
          <w:trHeight w:val="1128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j)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Promover la integración socioeconómica de las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comunidades marginadas</w:t>
            </w:r>
            <w:r w:rsidRPr="00163B46">
              <w:rPr>
                <w:rFonts w:cs="Calibri"/>
                <w:sz w:val="22"/>
                <w:szCs w:val="22"/>
              </w:rPr>
              <w:t>, como la población romaní.</w:t>
            </w:r>
          </w:p>
        </w:tc>
      </w:tr>
      <w:tr w:rsidR="00163B46" w:rsidRPr="00163B46" w:rsidTr="00BF1A46">
        <w:trPr>
          <w:trHeight w:val="2172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k)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b/>
                <w:bCs/>
                <w:sz w:val="22"/>
                <w:szCs w:val="22"/>
              </w:rPr>
              <w:t>Mejorar la igualdad y la oportunidad del acceso a unos servicios</w:t>
            </w:r>
            <w:r w:rsidRPr="00163B46">
              <w:rPr>
                <w:rFonts w:cs="Calibri"/>
                <w:sz w:val="22"/>
                <w:szCs w:val="22"/>
              </w:rPr>
              <w:t xml:space="preserve"> de calidad, sostenibles y asequibles, incluidos los servicios que promueven el acceso a la vivienda y a una atención centrada en las personas, incluida la asistencia sanitaria; modernizar los sistemas de protección social, también fomentando el acceso a la protección social, con especial atención a los menores y los grupos desfavorecidos; mejorar la accesibilidad, también para personas con discapacidad, la efectividad y la resiliencia de los sistemas de asistencia sanitaria y de los servicios de cuidados de larga duración.</w:t>
            </w:r>
          </w:p>
        </w:tc>
      </w:tr>
      <w:tr w:rsidR="00163B46" w:rsidRPr="00163B46" w:rsidTr="00BF1A46">
        <w:trPr>
          <w:trHeight w:val="1128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l)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left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 xml:space="preserve">Promover la integración social de las </w:t>
            </w:r>
            <w:r w:rsidRPr="00163B46">
              <w:rPr>
                <w:rFonts w:cs="Calibri"/>
                <w:b/>
                <w:bCs/>
                <w:sz w:val="22"/>
                <w:szCs w:val="22"/>
              </w:rPr>
              <w:t>personas en riesgo de pobreza o exclusión social</w:t>
            </w:r>
            <w:r w:rsidRPr="00163B46">
              <w:rPr>
                <w:rFonts w:cs="Calibri"/>
                <w:sz w:val="22"/>
                <w:szCs w:val="22"/>
              </w:rPr>
              <w:t xml:space="preserve">, incluidas las personas más desfavorecidas y la población infantil. </w:t>
            </w:r>
          </w:p>
        </w:tc>
      </w:tr>
      <w:tr w:rsidR="00163B46" w:rsidRPr="00163B46" w:rsidTr="00BF1A46">
        <w:trPr>
          <w:trHeight w:val="1140"/>
        </w:trPr>
        <w:tc>
          <w:tcPr>
            <w:tcW w:w="580" w:type="dxa"/>
            <w:shd w:val="clear" w:color="auto" w:fill="D0CECE" w:themeFill="background2" w:themeFillShade="E6"/>
            <w:vAlign w:val="center"/>
            <w:hideMark/>
          </w:tcPr>
          <w:p w:rsidR="00163B46" w:rsidRPr="00163B46" w:rsidRDefault="00163B46" w:rsidP="00494E72">
            <w:pPr>
              <w:spacing w:before="0" w:after="0"/>
              <w:jc w:val="center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sz w:val="22"/>
                <w:szCs w:val="22"/>
              </w:rPr>
              <w:t>m)</w:t>
            </w:r>
          </w:p>
        </w:tc>
        <w:tc>
          <w:tcPr>
            <w:tcW w:w="8204" w:type="dxa"/>
            <w:shd w:val="clear" w:color="auto" w:fill="auto"/>
            <w:vAlign w:val="center"/>
            <w:hideMark/>
          </w:tcPr>
          <w:p w:rsidR="00163B46" w:rsidRPr="00163B46" w:rsidRDefault="00163B46" w:rsidP="00494E72">
            <w:pPr>
              <w:spacing w:before="0" w:after="0"/>
              <w:rPr>
                <w:rFonts w:cs="Calibri"/>
                <w:sz w:val="22"/>
                <w:szCs w:val="22"/>
              </w:rPr>
            </w:pPr>
            <w:r w:rsidRPr="00163B46">
              <w:rPr>
                <w:rFonts w:cs="Calibri"/>
                <w:b/>
                <w:bCs/>
                <w:sz w:val="22"/>
                <w:szCs w:val="22"/>
              </w:rPr>
              <w:t>Hacer frente a la privación material</w:t>
            </w:r>
            <w:r w:rsidRPr="00163B46">
              <w:rPr>
                <w:rFonts w:cs="Calibri"/>
                <w:sz w:val="22"/>
                <w:szCs w:val="22"/>
              </w:rPr>
              <w:t xml:space="preserve"> mediante alimentos y/o la prestación de asistencia material básica a las personas más desfavorecidas, en particular a los menores, y establecer medidas de acompañamiento que apoyen su inclusión social.</w:t>
            </w:r>
          </w:p>
        </w:tc>
      </w:tr>
    </w:tbl>
    <w:p w:rsidR="00163B46" w:rsidRDefault="00163B46" w:rsidP="00163B46">
      <w:pPr>
        <w:spacing w:before="0" w:after="0"/>
        <w:jc w:val="left"/>
      </w:pPr>
    </w:p>
    <w:p w:rsidR="00F026C7" w:rsidRDefault="003E6690"/>
    <w:sectPr w:rsidR="00F026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690" w:rsidRDefault="003E6690" w:rsidP="00C45094">
      <w:pPr>
        <w:spacing w:before="0" w:after="0"/>
      </w:pPr>
      <w:r>
        <w:separator/>
      </w:r>
    </w:p>
  </w:endnote>
  <w:endnote w:type="continuationSeparator" w:id="0">
    <w:p w:rsidR="003E6690" w:rsidRDefault="003E6690" w:rsidP="00C450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690" w:rsidRDefault="003E6690" w:rsidP="00C45094">
      <w:pPr>
        <w:spacing w:before="0" w:after="0"/>
      </w:pPr>
      <w:r>
        <w:separator/>
      </w:r>
    </w:p>
  </w:footnote>
  <w:footnote w:type="continuationSeparator" w:id="0">
    <w:p w:rsidR="003E6690" w:rsidRDefault="003E6690" w:rsidP="00C450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A013D"/>
    <w:multiLevelType w:val="multilevel"/>
    <w:tmpl w:val="E042C1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46"/>
    <w:rsid w:val="00163B46"/>
    <w:rsid w:val="003E6690"/>
    <w:rsid w:val="00637C3C"/>
    <w:rsid w:val="00B30346"/>
    <w:rsid w:val="00BF1A46"/>
    <w:rsid w:val="00BF7D72"/>
    <w:rsid w:val="00C45094"/>
    <w:rsid w:val="00E4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B46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163B46"/>
    <w:pPr>
      <w:keepNext/>
      <w:keepLines/>
      <w:pageBreakBefore/>
      <w:numPr>
        <w:numId w:val="1"/>
      </w:numPr>
      <w:pBdr>
        <w:top w:val="single" w:sz="4" w:space="1" w:color="6798C1"/>
        <w:left w:val="single" w:sz="4" w:space="4" w:color="6798C1"/>
        <w:bottom w:val="single" w:sz="4" w:space="1" w:color="6798C1"/>
        <w:right w:val="single" w:sz="4" w:space="4" w:color="6798C1"/>
      </w:pBdr>
      <w:shd w:val="clear" w:color="auto" w:fill="5CACE2"/>
      <w:tabs>
        <w:tab w:val="left" w:pos="709"/>
      </w:tabs>
      <w:spacing w:before="0"/>
      <w:jc w:val="left"/>
      <w:outlineLvl w:val="0"/>
    </w:pPr>
    <w:rPr>
      <w:b/>
      <w:smallCaps/>
      <w:color w:val="FFFFFF" w:themeColor="background1"/>
      <w:kern w:val="28"/>
      <w:sz w:val="30"/>
      <w:szCs w:val="20"/>
    </w:rPr>
  </w:style>
  <w:style w:type="paragraph" w:styleId="Ttulo2">
    <w:name w:val="heading 2"/>
    <w:aliases w:val="Título 2 Car Car Car,Título 2 Car Car,Car11,Título 21,Título 2C,no vale,Heading 2 Char1,Heading 2 Char Char,Título 2 Car Car1"/>
    <w:basedOn w:val="Normal"/>
    <w:next w:val="Normal"/>
    <w:link w:val="Ttulo2Car"/>
    <w:qFormat/>
    <w:rsid w:val="00163B46"/>
    <w:pPr>
      <w:keepNext/>
      <w:numPr>
        <w:ilvl w:val="1"/>
        <w:numId w:val="1"/>
      </w:numPr>
      <w:pBdr>
        <w:top w:val="single" w:sz="4" w:space="1" w:color="5CACE2"/>
        <w:left w:val="single" w:sz="4" w:space="4" w:color="5CACE2"/>
        <w:bottom w:val="single" w:sz="4" w:space="1" w:color="5CACE2"/>
        <w:right w:val="single" w:sz="4" w:space="4" w:color="5CACE2"/>
      </w:pBdr>
      <w:shd w:val="clear" w:color="auto" w:fill="FFFFFF" w:themeFill="background1"/>
      <w:spacing w:after="120"/>
      <w:jc w:val="left"/>
      <w:outlineLvl w:val="1"/>
    </w:pPr>
    <w:rPr>
      <w:sz w:val="28"/>
      <w:szCs w:val="22"/>
    </w:rPr>
  </w:style>
  <w:style w:type="paragraph" w:styleId="Ttulo3">
    <w:name w:val="heading 3"/>
    <w:aliases w:val="Título 3 Car Car,Título 3 Car1,no vale1 Car,no vale1,Título 31,Título 3 Car Car1,Heading 3 Char"/>
    <w:basedOn w:val="Normal"/>
    <w:next w:val="Normal"/>
    <w:link w:val="Ttulo3Car"/>
    <w:qFormat/>
    <w:rsid w:val="00163B46"/>
    <w:pPr>
      <w:keepNext/>
      <w:numPr>
        <w:ilvl w:val="2"/>
        <w:numId w:val="1"/>
      </w:numPr>
      <w:spacing w:after="120"/>
      <w:jc w:val="left"/>
      <w:outlineLvl w:val="2"/>
    </w:pPr>
    <w:rPr>
      <w:b/>
      <w:color w:val="5CACE2"/>
      <w:sz w:val="26"/>
      <w:szCs w:val="22"/>
    </w:rPr>
  </w:style>
  <w:style w:type="paragraph" w:styleId="Ttulo4">
    <w:name w:val="heading 4"/>
    <w:aliases w:val="Título 4 Car Car,no vale 2 Car,no vale 2,Título 4 Car Car Car1,Heading 4 Char,Numbered - 4,lowest level"/>
    <w:basedOn w:val="Normal"/>
    <w:next w:val="Normal"/>
    <w:link w:val="Ttulo4Car"/>
    <w:qFormat/>
    <w:rsid w:val="00163B46"/>
    <w:pPr>
      <w:keepNext/>
      <w:numPr>
        <w:ilvl w:val="3"/>
        <w:numId w:val="1"/>
      </w:numPr>
      <w:pBdr>
        <w:top w:val="single" w:sz="4" w:space="1" w:color="5CACE2"/>
        <w:left w:val="single" w:sz="4" w:space="4" w:color="5CACE2"/>
      </w:pBdr>
      <w:spacing w:after="120"/>
      <w:jc w:val="left"/>
      <w:outlineLvl w:val="3"/>
    </w:pPr>
    <w:rPr>
      <w:b/>
      <w:color w:val="5CACE2"/>
      <w:szCs w:val="20"/>
    </w:rPr>
  </w:style>
  <w:style w:type="paragraph" w:styleId="Ttulo5">
    <w:name w:val="heading 5"/>
    <w:basedOn w:val="Ttulo4"/>
    <w:next w:val="Normal"/>
    <w:link w:val="Ttulo5Car"/>
    <w:qFormat/>
    <w:rsid w:val="00163B46"/>
    <w:pPr>
      <w:numPr>
        <w:ilvl w:val="4"/>
      </w:numPr>
      <w:ind w:left="2138"/>
      <w:outlineLvl w:val="4"/>
    </w:pPr>
  </w:style>
  <w:style w:type="paragraph" w:styleId="Ttulo6">
    <w:name w:val="heading 6"/>
    <w:aliases w:val="2º bolillo"/>
    <w:basedOn w:val="Normal"/>
    <w:next w:val="Normal"/>
    <w:link w:val="Ttulo6Car"/>
    <w:autoRedefine/>
    <w:qFormat/>
    <w:rsid w:val="00163B46"/>
    <w:pPr>
      <w:numPr>
        <w:ilvl w:val="5"/>
        <w:numId w:val="1"/>
      </w:numPr>
      <w:spacing w:after="120"/>
      <w:ind w:left="1418" w:firstLine="0"/>
      <w:outlineLvl w:val="5"/>
    </w:pPr>
    <w:rPr>
      <w:i/>
      <w:szCs w:val="20"/>
    </w:rPr>
  </w:style>
  <w:style w:type="paragraph" w:styleId="Ttulo7">
    <w:name w:val="heading 7"/>
    <w:basedOn w:val="Normal"/>
    <w:next w:val="Normal"/>
    <w:link w:val="Ttulo7Car"/>
    <w:autoRedefine/>
    <w:unhideWhenUsed/>
    <w:qFormat/>
    <w:rsid w:val="00163B46"/>
    <w:pPr>
      <w:numPr>
        <w:ilvl w:val="6"/>
        <w:numId w:val="1"/>
      </w:numPr>
      <w:tabs>
        <w:tab w:val="clear" w:pos="1296"/>
        <w:tab w:val="num" w:pos="360"/>
      </w:tabs>
      <w:spacing w:after="60"/>
      <w:ind w:left="0" w:firstLine="0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autoRedefine/>
    <w:unhideWhenUsed/>
    <w:qFormat/>
    <w:rsid w:val="00163B46"/>
    <w:pPr>
      <w:numPr>
        <w:ilvl w:val="7"/>
        <w:numId w:val="1"/>
      </w:numPr>
      <w:tabs>
        <w:tab w:val="clear" w:pos="1440"/>
        <w:tab w:val="num" w:pos="360"/>
      </w:tabs>
      <w:spacing w:after="60"/>
      <w:ind w:left="0" w:firstLine="0"/>
      <w:outlineLvl w:val="7"/>
    </w:pPr>
    <w:rPr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63B46"/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shd w:val="clear" w:color="auto" w:fill="5CACE2"/>
      <w:lang w:eastAsia="es-ES"/>
    </w:rPr>
  </w:style>
  <w:style w:type="character" w:customStyle="1" w:styleId="Ttulo2Car">
    <w:name w:val="Título 2 Car"/>
    <w:aliases w:val="Título 2 Car Car Car Car,Título 2 Car Car Car1,Car11 Car,Título 21 Car,Título 2C Car,no vale Car,Heading 2 Char1 Car,Heading 2 Char Char Car,Título 2 Car Car1 Car"/>
    <w:basedOn w:val="Fuentedeprrafopredeter"/>
    <w:link w:val="Ttulo2"/>
    <w:rsid w:val="00163B46"/>
    <w:rPr>
      <w:rFonts w:ascii="Arial Narrow" w:eastAsia="Times New Roman" w:hAnsi="Arial Narrow" w:cs="Times New Roman"/>
      <w:sz w:val="28"/>
      <w:shd w:val="clear" w:color="auto" w:fill="FFFFFF" w:themeFill="background1"/>
      <w:lang w:eastAsia="es-ES"/>
    </w:rPr>
  </w:style>
  <w:style w:type="character" w:customStyle="1" w:styleId="Ttulo3Car">
    <w:name w:val="Título 3 Car"/>
    <w:aliases w:val="Título 3 Car Car Car,Título 3 Car1 Car,no vale1 Car Car,no vale1 Car1,Título 31 Car,Título 3 Car Car1 Car,Heading 3 Char Car"/>
    <w:basedOn w:val="Fuentedeprrafopredeter"/>
    <w:link w:val="Ttulo3"/>
    <w:rsid w:val="00163B46"/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character" w:customStyle="1" w:styleId="Ttulo4Car">
    <w:name w:val="Título 4 Car"/>
    <w:aliases w:val="Título 4 Car Car Car,no vale 2 Car Car,no vale 2 Car1,Título 4 Car Car Car1 Car,Heading 4 Char Car,Numbered - 4 Car,lowest level Car"/>
    <w:basedOn w:val="Fuentedeprrafopredeter"/>
    <w:link w:val="Ttulo4"/>
    <w:rsid w:val="00163B46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163B46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6Car">
    <w:name w:val="Título 6 Car"/>
    <w:aliases w:val="2º bolillo Car"/>
    <w:basedOn w:val="Fuentedeprrafopredeter"/>
    <w:link w:val="Ttulo6"/>
    <w:rsid w:val="00163B46"/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163B46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163B46"/>
    <w:rPr>
      <w:rFonts w:ascii="Arial Narrow" w:eastAsia="Times New Roman" w:hAnsi="Arial Narrow" w:cs="Times New Roman"/>
      <w:i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C45094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45094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45094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094"/>
    <w:rPr>
      <w:rFonts w:ascii="Arial Narrow" w:eastAsia="Times New Roman" w:hAnsi="Arial Narrow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2022-03-01T13:04:00Z</dcterms:created>
  <dcterms:modified xsi:type="dcterms:W3CDTF">2022-03-01T13:05:00Z</dcterms:modified>
</cp:coreProperties>
</file>